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D6" w:rsidRDefault="00EF3AD6" w:rsidP="00EF3AD6">
      <w:p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-403860</wp:posOffset>
            </wp:positionV>
            <wp:extent cx="1711960" cy="51816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A logo from Louis 2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D6" w:rsidRPr="00714571" w:rsidRDefault="00EF3AD6" w:rsidP="00EF3AD6">
      <w:pPr>
        <w:spacing w:after="0"/>
        <w:rPr>
          <w:rFonts w:ascii="Arial" w:hAnsi="Arial" w:cs="Arial"/>
          <w:b/>
          <w:color w:val="auto"/>
          <w:sz w:val="26"/>
          <w:szCs w:val="26"/>
        </w:rPr>
      </w:pPr>
      <w:r w:rsidRPr="00714571">
        <w:rPr>
          <w:rFonts w:ascii="Arial" w:hAnsi="Arial" w:cs="Arial"/>
          <w:b/>
          <w:color w:val="auto"/>
          <w:sz w:val="26"/>
          <w:szCs w:val="26"/>
        </w:rPr>
        <w:t>YOUR ROLE: Write to the Minister in support of the Lake Partner Program</w:t>
      </w:r>
    </w:p>
    <w:p w:rsidR="00EF3AD6" w:rsidRPr="007F264C" w:rsidRDefault="007F264C" w:rsidP="00EF3AD6">
      <w:pPr>
        <w:spacing w:after="0"/>
        <w:rPr>
          <w:rFonts w:ascii="Arial" w:hAnsi="Arial" w:cs="Arial"/>
          <w:color w:val="auto"/>
          <w:sz w:val="16"/>
          <w:szCs w:val="16"/>
        </w:rPr>
      </w:pPr>
      <w:r w:rsidRPr="007F264C">
        <w:rPr>
          <w:rFonts w:ascii="Arial" w:hAnsi="Arial" w:cs="Arial"/>
          <w:i/>
          <w:noProof/>
          <w:color w:val="auto"/>
          <w:sz w:val="16"/>
          <w:szCs w:val="16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4288F50A" wp14:editId="1B2D5754">
            <wp:simplePos x="0" y="0"/>
            <wp:positionH relativeFrom="column">
              <wp:posOffset>38100</wp:posOffset>
            </wp:positionH>
            <wp:positionV relativeFrom="paragraph">
              <wp:posOffset>191135</wp:posOffset>
            </wp:positionV>
            <wp:extent cx="1394460" cy="916940"/>
            <wp:effectExtent l="0" t="0" r="0" b="0"/>
            <wp:wrapTight wrapText="bothSides">
              <wp:wrapPolygon edited="0">
                <wp:start x="0" y="0"/>
                <wp:lineTo x="0" y="21091"/>
                <wp:lineTo x="21246" y="21091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in speaking intro FOCA Fall Seminar 201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1" t="8555" r="12436" b="10620"/>
                    <a:stretch/>
                  </pic:blipFill>
                  <pic:spPr bwMode="auto">
                    <a:xfrm>
                      <a:off x="0" y="0"/>
                      <a:ext cx="1394460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D6">
        <w:rPr>
          <w:rFonts w:ascii="Arial" w:hAnsi="Arial" w:cs="Arial"/>
          <w:color w:val="auto"/>
          <w:sz w:val="24"/>
          <w:szCs w:val="24"/>
        </w:rPr>
        <w:t>November 2018</w:t>
      </w:r>
    </w:p>
    <w:p w:rsidR="00EF3AD6" w:rsidRPr="007F264C" w:rsidRDefault="00EF3AD6" w:rsidP="00EF3AD6">
      <w:pPr>
        <w:spacing w:after="0"/>
        <w:rPr>
          <w:rFonts w:ascii="Arial" w:hAnsi="Arial" w:cs="Arial"/>
          <w:color w:val="auto"/>
          <w:sz w:val="16"/>
          <w:szCs w:val="16"/>
        </w:rPr>
      </w:pPr>
    </w:p>
    <w:p w:rsidR="00EF3AD6" w:rsidRDefault="00EF3AD6" w:rsidP="00A827CA">
      <w:pPr>
        <w:spacing w:line="286" w:lineRule="auto"/>
        <w:ind w:left="187"/>
        <w:rPr>
          <w:rFonts w:ascii="Arial" w:hAnsi="Arial" w:cs="Arial"/>
          <w:i/>
          <w:color w:val="auto"/>
          <w:sz w:val="24"/>
          <w:szCs w:val="24"/>
        </w:rPr>
      </w:pPr>
      <w:r w:rsidRPr="00EF3AD6">
        <w:rPr>
          <w:rFonts w:ascii="Arial" w:hAnsi="Arial" w:cs="Arial"/>
          <w:i/>
          <w:color w:val="auto"/>
          <w:sz w:val="24"/>
          <w:szCs w:val="24"/>
        </w:rPr>
        <w:t>At the FOCA Fall Seminar on October 27</w:t>
      </w:r>
      <w:r w:rsidR="007F264C" w:rsidRPr="007F264C">
        <w:rPr>
          <w:rFonts w:ascii="Arial" w:hAnsi="Arial" w:cs="Arial"/>
          <w:i/>
          <w:color w:val="auto"/>
          <w:sz w:val="24"/>
          <w:szCs w:val="24"/>
          <w:vertAlign w:val="superscript"/>
        </w:rPr>
        <w:t>th</w:t>
      </w:r>
      <w:r w:rsidRPr="00EF3AD6">
        <w:rPr>
          <w:rFonts w:ascii="Arial" w:hAnsi="Arial" w:cs="Arial"/>
          <w:i/>
          <w:color w:val="auto"/>
          <w:sz w:val="24"/>
          <w:szCs w:val="24"/>
        </w:rPr>
        <w:t xml:space="preserve">, </w:t>
      </w:r>
      <w:r w:rsidR="007F264C">
        <w:rPr>
          <w:rFonts w:ascii="Arial" w:hAnsi="Arial" w:cs="Arial"/>
          <w:i/>
          <w:color w:val="auto"/>
          <w:sz w:val="24"/>
          <w:szCs w:val="24"/>
        </w:rPr>
        <w:t xml:space="preserve">Board </w:t>
      </w:r>
      <w:r w:rsidR="007F264C" w:rsidRPr="00EF3AD6">
        <w:rPr>
          <w:rFonts w:ascii="Arial" w:hAnsi="Arial" w:cs="Arial"/>
          <w:i/>
          <w:color w:val="auto"/>
          <w:sz w:val="24"/>
          <w:szCs w:val="24"/>
        </w:rPr>
        <w:t>President</w:t>
      </w:r>
      <w:r w:rsidR="007F264C" w:rsidRPr="00EF3AD6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EF3AD6">
        <w:rPr>
          <w:rFonts w:ascii="Arial" w:hAnsi="Arial" w:cs="Arial"/>
          <w:i/>
          <w:color w:val="auto"/>
          <w:sz w:val="24"/>
          <w:szCs w:val="24"/>
        </w:rPr>
        <w:t xml:space="preserve">Marlin Horst issued a </w:t>
      </w:r>
      <w:r w:rsidRPr="00EF3AD6">
        <w:rPr>
          <w:rFonts w:ascii="Arial" w:hAnsi="Arial" w:cs="Arial"/>
          <w:b/>
          <w:i/>
          <w:color w:val="auto"/>
          <w:sz w:val="24"/>
          <w:szCs w:val="24"/>
        </w:rPr>
        <w:t>call-to-action</w:t>
      </w:r>
      <w:r w:rsidRPr="00EF3AD6">
        <w:rPr>
          <w:rFonts w:ascii="Arial" w:hAnsi="Arial" w:cs="Arial"/>
          <w:i/>
          <w:color w:val="auto"/>
          <w:sz w:val="24"/>
          <w:szCs w:val="24"/>
        </w:rPr>
        <w:t xml:space="preserve"> to all FOCA members. </w:t>
      </w:r>
    </w:p>
    <w:p w:rsidR="00EF3AD6" w:rsidRPr="00EF3AD6" w:rsidRDefault="00EF3AD6" w:rsidP="00EF3AD6">
      <w:pPr>
        <w:spacing w:after="0"/>
        <w:ind w:left="180"/>
        <w:rPr>
          <w:rFonts w:ascii="Arial" w:hAnsi="Arial" w:cs="Arial"/>
          <w:i/>
          <w:color w:val="auto"/>
          <w:sz w:val="24"/>
          <w:szCs w:val="24"/>
        </w:rPr>
      </w:pPr>
      <w:r w:rsidRPr="00EF3AD6">
        <w:rPr>
          <w:rFonts w:ascii="Arial" w:hAnsi="Arial" w:cs="Arial"/>
          <w:i/>
          <w:color w:val="auto"/>
          <w:sz w:val="24"/>
          <w:szCs w:val="24"/>
        </w:rPr>
        <w:t>Here is an overview of his words:</w:t>
      </w:r>
    </w:p>
    <w:p w:rsidR="00EF3AD6" w:rsidRPr="007F264C" w:rsidRDefault="00EF3AD6" w:rsidP="00EF3AD6">
      <w:pPr>
        <w:spacing w:after="0"/>
        <w:rPr>
          <w:rFonts w:ascii="Arial" w:hAnsi="Arial" w:cs="Arial"/>
          <w:color w:val="auto"/>
          <w:sz w:val="16"/>
          <w:szCs w:val="16"/>
        </w:rPr>
      </w:pPr>
    </w:p>
    <w:p w:rsidR="00EF3AD6" w:rsidRDefault="007F264C" w:rsidP="00EF3AD6">
      <w:pPr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eastAsia="Calibri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2EC3C5E8" wp14:editId="278C2CA6">
            <wp:simplePos x="0" y="0"/>
            <wp:positionH relativeFrom="column">
              <wp:posOffset>5029200</wp:posOffset>
            </wp:positionH>
            <wp:positionV relativeFrom="paragraph">
              <wp:posOffset>1298575</wp:posOffset>
            </wp:positionV>
            <wp:extent cx="999490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0996" y="21355"/>
                <wp:lineTo x="209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in La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3" b="9316"/>
                    <a:stretch/>
                  </pic:blipFill>
                  <pic:spPr bwMode="auto">
                    <a:xfrm>
                      <a:off x="0" y="0"/>
                      <a:ext cx="999490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33E6BF21" wp14:editId="363F2038">
            <wp:simplePos x="0" y="0"/>
            <wp:positionH relativeFrom="column">
              <wp:posOffset>5029200</wp:posOffset>
            </wp:positionH>
            <wp:positionV relativeFrom="paragraph">
              <wp:posOffset>10795</wp:posOffset>
            </wp:positionV>
            <wp:extent cx="99568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077" y="21115"/>
                <wp:lineTo x="210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uring Water at Harp LOWRES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L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ake Partner Program (LPP)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partnership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between 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FOCA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and 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Ministry of </w:t>
      </w:r>
      <w:r w:rsidR="00A827C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Environment (now </w:t>
      </w:r>
      <w:r w:rsidR="00EF3AD6" w:rsidRPr="001512F4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Ministry of the Environment, Conservation, and Parks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- MECP)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support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hundreds of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vol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unteers who diligently sample Ontario’s inland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lakes and measure water clarity each year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, as well as 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 dedicated position at the Dorset Environmental Science Centre (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DESC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), to coordinate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A827C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nd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administer water sampling kits and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sample analysis by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DESC 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scientists.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EF3AD6" w:rsidRPr="00EF3AD6" w:rsidRDefault="00EF3AD6" w:rsidP="00EF3AD6">
      <w:pPr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76488">
        <w:rPr>
          <w:rFonts w:ascii="Arial" w:eastAsia="Calibr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This important long-term data collection, management, and interpretation would not be possible without the ongoing efforts of the MECP, FOCA’s staff, and LPP volunteers. 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Find out more</w:t>
      </w:r>
      <w:r w:rsidR="007F264C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 here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: </w:t>
      </w:r>
      <w:hyperlink r:id="rId10" w:history="1">
        <w:r w:rsidR="00A827CA" w:rsidRPr="00BD313A">
          <w:rPr>
            <w:rStyle w:val="Hyperlink"/>
            <w:rFonts w:ascii="Arial" w:eastAsia="Calibri" w:hAnsi="Arial" w:cs="Arial"/>
            <w:kern w:val="0"/>
            <w:sz w:val="24"/>
            <w:szCs w:val="24"/>
            <w:lang w:eastAsia="en-US"/>
            <w14:ligatures w14:val="none"/>
            <w14:cntxtAlts w14:val="0"/>
          </w:rPr>
          <w:t>https://foca.on.ca/lake-partner-program-overview/</w:t>
        </w:r>
      </w:hyperlink>
      <w:r w:rsidR="00A827C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. </w:t>
      </w:r>
    </w:p>
    <w:p w:rsidR="00EF3AD6" w:rsidRDefault="007F264C" w:rsidP="00EF3AD6">
      <w:pPr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eastAsia="Calibri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353B915C" wp14:editId="49445355">
            <wp:simplePos x="0" y="0"/>
            <wp:positionH relativeFrom="column">
              <wp:posOffset>5029200</wp:posOffset>
            </wp:positionH>
            <wp:positionV relativeFrom="paragraph">
              <wp:posOffset>671830</wp:posOffset>
            </wp:positionV>
            <wp:extent cx="99441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103" y="21136"/>
                <wp:lineTo x="211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7179CC32" wp14:editId="689B9F4F">
            <wp:simplePos x="0" y="0"/>
            <wp:positionH relativeFrom="column">
              <wp:posOffset>5033010</wp:posOffset>
            </wp:positionH>
            <wp:positionV relativeFrom="paragraph">
              <wp:posOffset>27305</wp:posOffset>
            </wp:positionV>
            <wp:extent cx="998220" cy="573405"/>
            <wp:effectExtent l="19050" t="19050" r="11430" b="17145"/>
            <wp:wrapTight wrapText="bothSides">
              <wp:wrapPolygon edited="0">
                <wp:start x="-412" y="-718"/>
                <wp:lineTo x="-412" y="21528"/>
                <wp:lineTo x="21435" y="21528"/>
                <wp:lineTo x="21435" y="-718"/>
                <wp:lineTo x="-412" y="-718"/>
              </wp:wrapPolygon>
            </wp:wrapTight>
            <wp:docPr id="8" name="Picture 8" descr="https://foca.on.ca/wp-content/uploads/2015/05/LPP-Map-banner-image-758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ca.on.ca/wp-content/uploads/2015/05/LPP-Map-banner-image-758x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73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e Province has made stern warnings about their fiscal situation, and—in the Ernst &amp; Young report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(Sept. 21, 2018) 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and elsewhere—have reference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d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 need to rationalize or modify their approach to Transfer Payments to partners and service delivery agents.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While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the majority of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such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funding is tied to health care and education, any wholesale change to third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-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party funding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/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program suppo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rt may affect small-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but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-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important agreements such as the one between FOCA and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MECP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for the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LPP.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FOCA recently met with MECP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Minister Rod Phillips and his senior staff, to make them aware of the importance of the work we do together. We value the effort our volunteers put into this program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EF3AD6"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and the science that it produces – science that otherwise would not exist.</w:t>
      </w:r>
      <w:r w:rsidR="00EF3AD6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EF3AD6" w:rsidRDefault="00EF3AD6" w:rsidP="00EF3AD6">
      <w:pPr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eastAsia="Calibri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7AC954BD" wp14:editId="18C4D524">
            <wp:simplePos x="0" y="0"/>
            <wp:positionH relativeFrom="column">
              <wp:posOffset>91440</wp:posOffset>
            </wp:positionH>
            <wp:positionV relativeFrom="paragraph">
              <wp:posOffset>234315</wp:posOffset>
            </wp:positionV>
            <wp:extent cx="77787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159" y="20925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 -megapho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If you feel strongly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about the continued role of DESC and our lake partner volunteers, </w:t>
      </w:r>
      <w:r w:rsidRPr="006555A0">
        <w:rPr>
          <w:rFonts w:ascii="Arial" w:eastAsia="Calibri" w:hAnsi="Arial" w:cs="Arial"/>
          <w:b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t>we encourage you to write</w:t>
      </w:r>
      <w:r w:rsidRPr="00702BDA">
        <w:rPr>
          <w:rFonts w:ascii="Arial" w:eastAsia="Calibri" w:hAnsi="Arial" w:cs="Arial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t xml:space="preserve"> to your home MPP, your cottage country MPP, and the Minister himself on behalf of your members</w:t>
      </w:r>
      <w:r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 to tell them how important water quality</w:t>
      </w:r>
      <w:r w:rsidR="007F264C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monitoring</w:t>
      </w:r>
      <w:r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is to your community, and how the Province can continue to capitalize on this very cost-effective program by continuing their modest support of the L</w:t>
      </w:r>
      <w:r w:rsidR="007F264C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ake Partner Program</w:t>
      </w:r>
      <w:r w:rsidRPr="00702BDA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through FOCA. </w:t>
      </w:r>
      <w:r w:rsidR="00F93557">
        <w:rPr>
          <w:rFonts w:ascii="Arial" w:eastAsia="Calibr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 </w:t>
      </w:r>
    </w:p>
    <w:p w:rsidR="00A928F2" w:rsidRDefault="00EF3AD6" w:rsidP="007F264C">
      <w:pPr>
        <w:jc w:val="center"/>
        <w:rPr>
          <w:rFonts w:ascii="Arial" w:eastAsia="Calibr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E42F4">
        <w:rPr>
          <w:rFonts w:ascii="Arial" w:eastAsia="Calibr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Please copy </w:t>
      </w:r>
      <w:hyperlink r:id="rId14" w:history="1">
        <w:r w:rsidRPr="006E42F4">
          <w:rPr>
            <w:rStyle w:val="Hyperlink"/>
            <w:rFonts w:ascii="Arial" w:eastAsia="Calibri" w:hAnsi="Arial" w:cs="Arial"/>
            <w:b/>
            <w:kern w:val="0"/>
            <w:sz w:val="24"/>
            <w:szCs w:val="24"/>
            <w:lang w:eastAsia="en-US"/>
            <w14:ligatures w14:val="none"/>
            <w14:cntxtAlts w14:val="0"/>
          </w:rPr>
          <w:t>president@foca.on.ca</w:t>
        </w:r>
      </w:hyperlink>
      <w:r w:rsidRPr="006E42F4">
        <w:rPr>
          <w:rFonts w:ascii="Arial" w:eastAsia="Calibri" w:hAnsi="Arial" w:cs="Arial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on your letters!</w:t>
      </w:r>
      <w:r w:rsidR="00194277" w:rsidRPr="00194277">
        <w:rPr>
          <w:rFonts w:ascii="Arial" w:eastAsia="Calibri" w:hAnsi="Arial" w:cs="Arial"/>
          <w:i/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194277">
        <w:rPr>
          <w:rFonts w:ascii="Arial" w:eastAsia="Calibri" w:hAnsi="Arial" w:cs="Arial"/>
          <w:i/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     </w:t>
      </w:r>
      <w:r w:rsidR="00194277" w:rsidRPr="00194277">
        <w:rPr>
          <w:rFonts w:ascii="Arial" w:eastAsia="Calibri" w:hAnsi="Arial" w:cs="Arial"/>
          <w:i/>
          <w:color w:val="FF0000"/>
          <w:kern w:val="0"/>
          <w:sz w:val="24"/>
          <w:szCs w:val="24"/>
          <w:lang w:eastAsia="en-US"/>
          <w14:ligatures w14:val="none"/>
          <w14:cntxtAlts w14:val="0"/>
        </w:rPr>
        <w:t>(</w:t>
      </w:r>
      <w:proofErr w:type="gramStart"/>
      <w:r w:rsidR="00194277" w:rsidRPr="00194277">
        <w:rPr>
          <w:rFonts w:ascii="Arial" w:eastAsia="Calibri" w:hAnsi="Arial" w:cs="Arial"/>
          <w:i/>
          <w:color w:val="FF0000"/>
          <w:kern w:val="0"/>
          <w:sz w:val="24"/>
          <w:szCs w:val="24"/>
          <w:lang w:eastAsia="en-US"/>
          <w14:ligatures w14:val="none"/>
          <w14:cntxtAlts w14:val="0"/>
        </w:rPr>
        <w:t>see</w:t>
      </w:r>
      <w:proofErr w:type="gramEnd"/>
      <w:r w:rsidR="00194277" w:rsidRPr="00194277">
        <w:rPr>
          <w:rFonts w:ascii="Arial" w:eastAsia="Calibri" w:hAnsi="Arial" w:cs="Arial"/>
          <w:i/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 words, over…)</w:t>
      </w:r>
    </w:p>
    <w:p w:rsidR="005014C9" w:rsidRPr="005B087D" w:rsidRDefault="005B087D" w:rsidP="007F264C">
      <w:pPr>
        <w:jc w:val="center"/>
        <w:rPr>
          <w:rFonts w:ascii="Arial" w:hAnsi="Arial" w:cs="Arial"/>
          <w:b/>
          <w:sz w:val="28"/>
          <w:szCs w:val="28"/>
        </w:rPr>
      </w:pPr>
      <w:r w:rsidRPr="005B087D">
        <w:rPr>
          <w:rFonts w:ascii="Arial" w:hAnsi="Arial" w:cs="Arial"/>
          <w:b/>
          <w:sz w:val="28"/>
          <w:szCs w:val="28"/>
        </w:rPr>
        <w:lastRenderedPageBreak/>
        <w:t>DRAFT</w:t>
      </w:r>
      <w:r w:rsidR="00547ACB">
        <w:rPr>
          <w:rFonts w:ascii="Arial" w:hAnsi="Arial" w:cs="Arial"/>
          <w:b/>
          <w:sz w:val="28"/>
          <w:szCs w:val="28"/>
        </w:rPr>
        <w:t xml:space="preserve"> for FOCA member use:</w:t>
      </w:r>
    </w:p>
    <w:p w:rsidR="00F93557" w:rsidRDefault="00F93557" w:rsidP="00F93557">
      <w:pPr>
        <w:rPr>
          <w:rFonts w:ascii="Arial" w:hAnsi="Arial" w:cs="Arial"/>
          <w:sz w:val="24"/>
          <w:szCs w:val="24"/>
        </w:rPr>
      </w:pPr>
    </w:p>
    <w:p w:rsidR="005B087D" w:rsidRPr="00F93557" w:rsidRDefault="005B087D" w:rsidP="00F93557">
      <w:pPr>
        <w:rPr>
          <w:rFonts w:ascii="Arial" w:hAnsi="Arial" w:cs="Arial"/>
          <w:sz w:val="24"/>
          <w:szCs w:val="24"/>
        </w:rPr>
      </w:pPr>
      <w:r w:rsidRPr="00F93557">
        <w:rPr>
          <w:rFonts w:ascii="Arial" w:hAnsi="Arial" w:cs="Arial"/>
          <w:sz w:val="24"/>
          <w:szCs w:val="24"/>
        </w:rPr>
        <w:t>November</w:t>
      </w:r>
      <w:r w:rsidR="00F93557">
        <w:rPr>
          <w:rFonts w:ascii="Arial" w:hAnsi="Arial" w:cs="Arial"/>
          <w:sz w:val="24"/>
          <w:szCs w:val="24"/>
        </w:rPr>
        <w:t xml:space="preserve"> __,</w:t>
      </w:r>
      <w:r w:rsidRPr="00F93557">
        <w:rPr>
          <w:rFonts w:ascii="Arial" w:hAnsi="Arial" w:cs="Arial"/>
          <w:sz w:val="24"/>
          <w:szCs w:val="24"/>
        </w:rPr>
        <w:t xml:space="preserve"> 2018</w:t>
      </w: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F93557" w:rsidRDefault="00F93557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To: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Hon. Rod Phillips</w:t>
      </w: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</w:r>
      <w:r w:rsidR="00F93557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Ontario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Minister of the Environment, Conservation &amp; Parks</w:t>
      </w: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</w:r>
      <w:hyperlink r:id="rId15" w:history="1">
        <w:r w:rsidRPr="00BD313A">
          <w:rPr>
            <w:rStyle w:val="Hyperlink"/>
            <w:rFonts w:ascii="Arial" w:eastAsiaTheme="minorEastAsia" w:hAnsi="Arial" w:cs="Arial"/>
            <w:kern w:val="24"/>
            <w:lang w:val="en-US"/>
          </w:rPr>
          <w:t>rod.phillips@pc.ola.org</w:t>
        </w:r>
      </w:hyperlink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cc: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</w:r>
      <w:hyperlink r:id="rId16" w:history="1">
        <w:r w:rsidRPr="00BD313A">
          <w:rPr>
            <w:rStyle w:val="Hyperlink"/>
            <w:rFonts w:ascii="Arial" w:eastAsiaTheme="minorEastAsia" w:hAnsi="Arial" w:cs="Arial"/>
            <w:kern w:val="24"/>
            <w:lang w:val="en-US"/>
          </w:rPr>
          <w:t>president@foca.on.ca</w:t>
        </w:r>
      </w:hyperlink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</w:t>
      </w:r>
    </w:p>
    <w:p w:rsidR="00F93557" w:rsidRDefault="00F93557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B087D" w:rsidRDefault="00F93557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ab/>
        <w:t>[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also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, your MPP and cottage country MPP]</w:t>
      </w: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Honorable Minister Phillips:</w:t>
      </w: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FOCA is the Federation of Ontario Cottagers’ Associations. 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As one of FOCA’s 50,000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member 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families, and on behalf of my own lake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Association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, __________</w:t>
      </w:r>
      <w:r w:rsidR="00F93557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in ________ Township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,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I am w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riting in support of the </w:t>
      </w:r>
      <w:r w:rsidRPr="00F93557">
        <w:rPr>
          <w:rFonts w:ascii="Arial" w:eastAsiaTheme="minorEastAsia" w:hAnsi="Arial" w:cs="Arial"/>
          <w:b/>
          <w:color w:val="000000" w:themeColor="text1"/>
          <w:kern w:val="24"/>
          <w:lang w:val="en-US"/>
        </w:rPr>
        <w:t>Lake Partner Program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(LPP),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a </w:t>
      </w:r>
      <w:r w:rsidR="00F93557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long-term 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partnership between FOCA, the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Ontario 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Ministry of the Environment, and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the Dorset Environmental Science Centre.</w:t>
      </w:r>
    </w:p>
    <w:p w:rsidR="005B087D" w:rsidRPr="005B087D" w:rsidRDefault="005B087D" w:rsidP="005B087D">
      <w:pPr>
        <w:pStyle w:val="NormalWeb"/>
        <w:spacing w:before="0" w:beforeAutospacing="0" w:after="0" w:afterAutospacing="0"/>
      </w:pPr>
    </w:p>
    <w:p w:rsidR="005B087D" w:rsidRPr="005B087D" w:rsidRDefault="005B087D" w:rsidP="005B087D">
      <w:pPr>
        <w:pStyle w:val="NormalWeb"/>
        <w:spacing w:before="0" w:beforeAutospacing="0" w:after="0" w:afterAutospacing="0"/>
      </w:pP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The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LPP program has 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significant value: </w:t>
      </w:r>
    </w:p>
    <w:p w:rsidR="005B087D" w:rsidRPr="005B087D" w:rsidRDefault="00547ACB" w:rsidP="005B087D">
      <w:pPr>
        <w:pStyle w:val="ListParagraph"/>
        <w:numPr>
          <w:ilvl w:val="0"/>
          <w:numId w:val="1"/>
        </w:num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i</w:t>
      </w:r>
      <w:r w:rsidR="00F93557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t is </w:t>
      </w:r>
      <w:r w:rsidR="005B087D"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one of the largest of its kind in the world</w:t>
      </w:r>
      <w:r w:rsid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, using volunteers to sample water quality in Ontario’s inland lakes</w:t>
      </w:r>
    </w:p>
    <w:p w:rsidR="005B087D" w:rsidRPr="005B087D" w:rsidRDefault="005B087D" w:rsidP="005B087D">
      <w:pPr>
        <w:pStyle w:val="ListParagraph"/>
        <w:numPr>
          <w:ilvl w:val="0"/>
          <w:numId w:val="1"/>
        </w:numPr>
      </w:pP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1,000</w:t>
      </w:r>
      <w:r w:rsidR="00F93557">
        <w:rPr>
          <w:rFonts w:ascii="Arial" w:eastAsiaTheme="minorEastAsia" w:hAnsi="Arial" w:cs="Arial"/>
          <w:color w:val="000000" w:themeColor="text1"/>
          <w:kern w:val="24"/>
          <w:lang w:val="en-US"/>
        </w:rPr>
        <w:t>’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s of hours of volunteer water sampling each year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,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by hundreds of citizens </w:t>
      </w:r>
    </w:p>
    <w:p w:rsidR="005B087D" w:rsidRPr="005B087D" w:rsidRDefault="005B087D" w:rsidP="005B087D">
      <w:pPr>
        <w:pStyle w:val="ListParagraph"/>
        <w:numPr>
          <w:ilvl w:val="0"/>
          <w:numId w:val="1"/>
        </w:numPr>
      </w:pPr>
      <w:proofErr w:type="gramStart"/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d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ata</w:t>
      </w:r>
      <w:proofErr w:type="gramEnd"/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dating back to 2002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, tracking water quality across Ontario</w:t>
      </w:r>
      <w:r w:rsidR="00F93557">
        <w:rPr>
          <w:rFonts w:ascii="Arial" w:eastAsiaTheme="minorEastAsia" w:hAnsi="Arial" w:cs="Arial"/>
          <w:color w:val="000000" w:themeColor="text1"/>
          <w:kern w:val="24"/>
          <w:lang w:val="en-US"/>
        </w:rPr>
        <w:t>.</w:t>
      </w:r>
    </w:p>
    <w:p w:rsidR="00F93557" w:rsidRDefault="00F93557" w:rsidP="005B087D">
      <w:pPr>
        <w:pStyle w:val="NormalWeb"/>
        <w:spacing w:before="0" w:beforeAutospacing="0" w:after="0" w:afterAutospacing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For more, visit: </w:t>
      </w:r>
      <w:hyperlink r:id="rId17" w:history="1">
        <w:r w:rsidRPr="00BD313A">
          <w:rPr>
            <w:rStyle w:val="Hyperlink"/>
            <w:rFonts w:ascii="Arial" w:eastAsia="Calibri" w:hAnsi="Arial" w:cs="Arial"/>
            <w:lang w:eastAsia="en-US"/>
          </w:rPr>
          <w:t>https://foca.on.ca/lake-partner-program-overview/</w:t>
        </w:r>
      </w:hyperlink>
      <w:r>
        <w:rPr>
          <w:rFonts w:ascii="Arial" w:eastAsia="Calibri" w:hAnsi="Arial" w:cs="Arial"/>
          <w:lang w:eastAsia="en-US"/>
        </w:rPr>
        <w:t>.</w:t>
      </w:r>
    </w:p>
    <w:p w:rsidR="00F93557" w:rsidRDefault="00F93557" w:rsidP="005B087D">
      <w:pPr>
        <w:pStyle w:val="NormalWeb"/>
        <w:spacing w:before="0" w:beforeAutospacing="0" w:after="0" w:afterAutospacing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="Calibri" w:hAnsi="Arial" w:cs="Arial"/>
          <w:lang w:eastAsia="en-US"/>
        </w:rPr>
        <w:t xml:space="preserve">The </w:t>
      </w:r>
      <w:r w:rsidRPr="00702BDA">
        <w:rPr>
          <w:rFonts w:ascii="Arial" w:eastAsia="Calibri" w:hAnsi="Arial" w:cs="Arial"/>
          <w:lang w:eastAsia="en-US"/>
        </w:rPr>
        <w:t xml:space="preserve">Province </w:t>
      </w:r>
      <w:r>
        <w:rPr>
          <w:rFonts w:ascii="Arial" w:eastAsia="Calibri" w:hAnsi="Arial" w:cs="Arial"/>
          <w:lang w:eastAsia="en-US"/>
        </w:rPr>
        <w:t xml:space="preserve">of Ontario </w:t>
      </w:r>
      <w:r w:rsidRPr="00702BDA">
        <w:rPr>
          <w:rFonts w:ascii="Arial" w:eastAsia="Calibri" w:hAnsi="Arial" w:cs="Arial"/>
          <w:lang w:eastAsia="en-US"/>
        </w:rPr>
        <w:t xml:space="preserve">can continue to capitalize on this very cost-effective program by continuing </w:t>
      </w:r>
      <w:r w:rsidR="00F93557">
        <w:rPr>
          <w:rFonts w:ascii="Arial" w:eastAsia="Calibri" w:hAnsi="Arial" w:cs="Arial"/>
          <w:lang w:eastAsia="en-US"/>
        </w:rPr>
        <w:t>its</w:t>
      </w:r>
      <w:r w:rsidRPr="00702BDA">
        <w:rPr>
          <w:rFonts w:ascii="Arial" w:eastAsia="Calibri" w:hAnsi="Arial" w:cs="Arial"/>
          <w:lang w:eastAsia="en-US"/>
        </w:rPr>
        <w:t xml:space="preserve"> modest support of the L</w:t>
      </w:r>
      <w:r>
        <w:rPr>
          <w:rFonts w:ascii="Arial" w:eastAsia="Calibri" w:hAnsi="Arial" w:cs="Arial"/>
          <w:lang w:eastAsia="en-US"/>
        </w:rPr>
        <w:t>ake Partner Program</w:t>
      </w:r>
      <w:r w:rsidRPr="00702BDA">
        <w:rPr>
          <w:rFonts w:ascii="Arial" w:eastAsia="Calibri" w:hAnsi="Arial" w:cs="Arial"/>
          <w:lang w:eastAsia="en-US"/>
        </w:rPr>
        <w:t xml:space="preserve"> through FOCA</w:t>
      </w:r>
      <w:r>
        <w:rPr>
          <w:rFonts w:ascii="Arial" w:eastAsia="Calibri" w:hAnsi="Arial" w:cs="Arial"/>
          <w:lang w:eastAsia="en-US"/>
        </w:rPr>
        <w:t>.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On behalf of my family, my lake Association and FOCA, I u</w:t>
      </w:r>
      <w:r w:rsidRPr="005B087D">
        <w:rPr>
          <w:rFonts w:ascii="Arial" w:eastAsiaTheme="minorEastAsia" w:hAnsi="Arial" w:cs="Arial"/>
          <w:color w:val="000000" w:themeColor="text1"/>
          <w:kern w:val="24"/>
          <w:lang w:val="en-US"/>
        </w:rPr>
        <w:t>rge you to continue supporting th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e Lake Partner Program</w:t>
      </w: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of water quality monitoring.</w:t>
      </w: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Sincerely,</w:t>
      </w:r>
    </w:p>
    <w:p w:rsidR="005B087D" w:rsidRDefault="005B087D" w:rsidP="005B087D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lang w:val="en-US"/>
        </w:rPr>
      </w:pPr>
    </w:p>
    <w:p w:rsidR="005B087D" w:rsidRPr="005B087D" w:rsidRDefault="005B087D" w:rsidP="005B087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B087D" w:rsidRPr="005B087D" w:rsidRDefault="005B087D" w:rsidP="005B087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B087D">
        <w:rPr>
          <w:rFonts w:ascii="Arial" w:hAnsi="Arial" w:cs="Arial"/>
        </w:rPr>
        <w:t>[</w:t>
      </w:r>
      <w:proofErr w:type="gramStart"/>
      <w:r w:rsidRPr="005B087D">
        <w:rPr>
          <w:rFonts w:ascii="Arial" w:hAnsi="Arial" w:cs="Arial"/>
        </w:rPr>
        <w:t>your</w:t>
      </w:r>
      <w:proofErr w:type="gramEnd"/>
      <w:r w:rsidRPr="005B087D">
        <w:rPr>
          <w:rFonts w:ascii="Arial" w:hAnsi="Arial" w:cs="Arial"/>
        </w:rPr>
        <w:t xml:space="preserve"> contact information &amp; lake association affiliation here]</w:t>
      </w:r>
    </w:p>
    <w:p w:rsidR="005B087D" w:rsidRPr="005B087D" w:rsidRDefault="005B087D" w:rsidP="007F264C">
      <w:pPr>
        <w:jc w:val="center"/>
        <w:rPr>
          <w:rFonts w:ascii="Arial" w:hAnsi="Arial" w:cs="Arial"/>
        </w:rPr>
      </w:pPr>
    </w:p>
    <w:p w:rsidR="005014C9" w:rsidRPr="005B087D" w:rsidRDefault="005014C9" w:rsidP="007F264C">
      <w:pPr>
        <w:jc w:val="center"/>
        <w:rPr>
          <w:rFonts w:ascii="Arial" w:hAnsi="Arial" w:cs="Arial"/>
        </w:rPr>
      </w:pPr>
    </w:p>
    <w:sectPr w:rsidR="005014C9" w:rsidRPr="005B0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7A77"/>
    <w:multiLevelType w:val="hybridMultilevel"/>
    <w:tmpl w:val="DED42786"/>
    <w:lvl w:ilvl="0" w:tplc="A114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6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4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AF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1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E6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82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2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D6"/>
    <w:rsid w:val="00194277"/>
    <w:rsid w:val="005014C9"/>
    <w:rsid w:val="00547ACB"/>
    <w:rsid w:val="005B087D"/>
    <w:rsid w:val="00714571"/>
    <w:rsid w:val="007F264C"/>
    <w:rsid w:val="00A827CA"/>
    <w:rsid w:val="00A928F2"/>
    <w:rsid w:val="00AF3A7C"/>
    <w:rsid w:val="00EF3AD6"/>
    <w:rsid w:val="00F93557"/>
    <w:rsid w:val="00FB40E8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D6"/>
    <w:pPr>
      <w:spacing w:after="120" w:line="285" w:lineRule="auto"/>
      <w:jc w:val="left"/>
    </w:pPr>
    <w:rPr>
      <w:rFonts w:ascii="Calibri" w:eastAsia="Times New Roman" w:hAnsi="Calibri" w:cs="Times New Roman"/>
      <w:color w:val="21212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D6"/>
    <w:rPr>
      <w:rFonts w:ascii="Tahoma" w:eastAsia="Times New Roman" w:hAnsi="Tahoma" w:cs="Tahoma"/>
      <w:color w:val="212120"/>
      <w:kern w:val="28"/>
      <w:sz w:val="16"/>
      <w:szCs w:val="16"/>
      <w:lang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5B08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5B087D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D6"/>
    <w:pPr>
      <w:spacing w:after="120" w:line="285" w:lineRule="auto"/>
      <w:jc w:val="left"/>
    </w:pPr>
    <w:rPr>
      <w:rFonts w:ascii="Calibri" w:eastAsia="Times New Roman" w:hAnsi="Calibri" w:cs="Times New Roman"/>
      <w:color w:val="21212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D6"/>
    <w:rPr>
      <w:rFonts w:ascii="Tahoma" w:eastAsia="Times New Roman" w:hAnsi="Tahoma" w:cs="Tahoma"/>
      <w:color w:val="212120"/>
      <w:kern w:val="28"/>
      <w:sz w:val="16"/>
      <w:szCs w:val="16"/>
      <w:lang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5B087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5B087D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foca.on.ca/lake-partner-program-overview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ident@foca.on.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rod.phillips@pc.ola.org" TargetMode="External"/><Relationship Id="rId10" Type="http://schemas.openxmlformats.org/officeDocument/2006/relationships/hyperlink" Target="https://foca.on.ca/lake-partner-program-overvie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president@foca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2018-11-12T21:02:00Z</cp:lastPrinted>
  <dcterms:created xsi:type="dcterms:W3CDTF">2018-11-12T20:04:00Z</dcterms:created>
  <dcterms:modified xsi:type="dcterms:W3CDTF">2018-11-12T21:08:00Z</dcterms:modified>
</cp:coreProperties>
</file>